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pPr>
      <w:r>
        <w:t xml:space="preserve">Redebausteine für das Kollegium</w:t>
      </w:r>
    </w:p>
    <w:p>
      <w:pPr>
        <w:pStyle w:val="berschrift1"/>
      </w:pPr>
      <w:r>
        <w:t xml:space="preserve">Redebausteine-direkt</w:t>
      </w:r>
    </w:p>
    <w:p>
      <w:pPr>
        <w:pStyle w:val="Haupttext"/>
        <w:spacing w:after="60"/>
      </w:pPr>
      <w:r>
        <w:t xml:space="preserve">Drei Situationen, die im Kollegium immer wieder vorkommen, und für jede ein ruhiger Satz, den du nicht erst suchen musst. In die Zeile „Mein Satz“ trägst du ein, wie du es selbst sagen würdest.</w:t>
      </w:r>
    </w:p>
    <w:p>
      <w:pPr>
        <w:pStyle w:val="berschrift3"/>
        <w:keepNext/>
        <w:spacing w:before="280"/>
      </w:pPr>
      <w:r>
        <w:rPr>
          <w:color w:val="5D7DBE"/>
        </w:rPr>
        <w:t xml:space="preserve">1  </w:t>
      </w:r>
      <w:r>
        <w:t xml:space="preserve">Jemand will im Vorbeigehen eine Entscheidung</w:t>
      </w:r>
    </w:p>
    <w:p>
      <w:pPr>
        <w:pStyle w:val="Haupttext"/>
        <w:keepNext/>
        <w:spacing w:after="100"/>
      </w:pPr>
      <w:r>
        <w:rPr>
          <w:i/>
          <w:iCs/>
        </w:rPr>
        <w:t xml:space="preserve">Du wirst im Flur, am Kopierer oder zwischen Tür und Angel um eine Zusage oder Entscheidung gebeten.</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3500"/>
        <w:gridCol w:w="6565"/>
      </w:tblGrid>
      <w:tr>
        <w:trPr>
          <w:cantSplit/>
          <w:tblHeader/>
        </w:trPr>
        <w:tc>
          <w:tcPr>
            <w:tcW w:w="3500" w:type="dxa"/>
            <w:shd w:val="clear" w:color="auto" w:fill="C1181C"/>
            <w:vAlign w:val="center"/>
          </w:tcPr>
          <w:p>
            <w:pPr>
              <w:pStyle w:val="Standard"/>
              <w:keepNext/>
              <w:spacing w:before="0" w:after="0"/>
            </w:pPr>
            <w:r>
              <w:rPr>
                <w:b/>
                <w:bCs/>
                <w:caps/>
                <w:color w:val="FFFFFF"/>
              </w:rPr>
              <w:t xml:space="preserve">Das sagst du oft</w:t>
            </w:r>
          </w:p>
        </w:tc>
        <w:tc>
          <w:tcPr>
            <w:tcW w:w="6565" w:type="dxa"/>
            <w:shd w:val="clear" w:color="auto" w:fill="5D7DBE"/>
            <w:vAlign w:val="center"/>
          </w:tcPr>
          <w:p>
            <w:pPr>
              <w:pStyle w:val="Standard"/>
              <w:keepNext/>
              <w:spacing w:before="0" w:after="0"/>
            </w:pPr>
            <w:r>
              <w:rPr>
                <w:b/>
                <w:bCs/>
                <w:caps/>
                <w:color w:val="FFFFFF"/>
              </w:rPr>
              <w:t xml:space="preserve">Das kannst du stattdessen sagen</w:t>
            </w:r>
          </w:p>
        </w:tc>
      </w:tr>
      <w:tr>
        <w:trPr>
          <w:cantSplit/>
        </w:trPr>
        <w:tc>
          <w:tcPr>
            <w:tcW w:w="3500" w:type="dxa"/>
            <w:vMerge w:val="restart"/>
            <w:vAlign w:val="top"/>
          </w:tcPr>
          <w:p>
            <w:pPr>
              <w:pStyle w:val="Standard"/>
              <w:keepNext/>
              <w:spacing w:before="0" w:after="80"/>
            </w:pPr>
            <w:r>
              <w:t xml:space="preserve">„Ja, passt schon, machen wir so.“</w:t>
            </w:r>
          </w:p>
          <w:p>
            <w:pPr>
              <w:pStyle w:val="Standard"/>
              <w:keepNext/>
              <w:spacing w:before="0" w:after="80"/>
            </w:pPr>
            <w:r>
              <w:t xml:space="preserve">„Klar, ich kümmere mich drum.“</w:t>
            </w:r>
          </w:p>
        </w:tc>
        <w:tc>
          <w:tcPr>
            <w:tcW w:w="6565" w:type="dxa"/>
            <w:vAlign w:val="top"/>
          </w:tcPr>
          <w:p>
            <w:pPr>
              <w:pStyle w:val="Standard"/>
              <w:keepNext/>
              <w:spacing w:before="0" w:after="20"/>
            </w:pPr>
            <w:r>
              <w:rPr>
                <w:b/>
                <w:bCs/>
                <w:caps/>
                <w:color w:val="7A7A88"/>
                <w:sz w:val="16"/>
                <w:szCs w:val="16"/>
              </w:rPr>
              <w:t xml:space="preserve">Kernsatz</w:t>
            </w:r>
          </w:p>
          <w:p>
            <w:pPr>
              <w:pStyle w:val="Standard"/>
              <w:keepNext/>
              <w:spacing w:before="0" w:after="0"/>
            </w:pPr>
            <w:r>
              <w:rPr>
                <w:b/>
                <w:bCs/>
              </w:rPr>
              <w:t xml:space="preserve">„Mache ich gleich, schick mir das kurz schriftlich.“</w:t>
            </w:r>
          </w:p>
        </w:tc>
      </w:tr>
      <w:tr>
        <w:trPr>
          <w:cantSplit/>
        </w:trPr>
        <w:tc>
          <w:tcPr>
            <w:tcW w:w="3500" w:type="dxa"/>
            <w:vMerge/>
            <w:vAlign w:val="top"/>
          </w:tcPr>
          <w:p>
            <w:pPr>
              <w:pStyle w:val="Standard"/>
              <w:keepNext/>
              <w:spacing w:before="0" w:after="0"/>
            </w:pPr>
            <w:r>
              <w:t xml:space="preserve"/>
            </w:r>
          </w:p>
        </w:tc>
        <w:tc>
          <w:tcPr>
            <w:tcW w:w="6565" w:type="dxa"/>
            <w:vAlign w:val="top"/>
          </w:tcPr>
          <w:p>
            <w:pPr>
              <w:pStyle w:val="Standard"/>
              <w:keepNext/>
              <w:spacing w:before="0" w:after="20"/>
            </w:pPr>
            <w:r>
              <w:rPr>
                <w:b/>
                <w:bCs/>
                <w:caps/>
                <w:color w:val="7A7A88"/>
                <w:sz w:val="16"/>
                <w:szCs w:val="16"/>
              </w:rPr>
              <w:t xml:space="preserve">Wenn es mehrere betrifft</w:t>
            </w:r>
          </w:p>
          <w:p>
            <w:pPr>
              <w:pStyle w:val="Standard"/>
              <w:keepNext/>
              <w:spacing w:before="0" w:after="0"/>
            </w:pPr>
            <w:r>
              <w:t xml:space="preserve">„Das betrifft auch andere. Schick es bitte als Mail an alle Beteiligten, dann entscheiden wir das sauber.“</w:t>
            </w:r>
          </w:p>
        </w:tc>
      </w:tr>
      <w:tr>
        <w:trPr>
          <w:cantSplit/>
          <w:trHeight w:val="850" w:hRule="atLeast"/>
        </w:trPr>
        <w:tc>
          <w:tcPr>
            <w:tcW w:w="3500" w:type="dxa"/>
            <w:vMerge/>
            <w:vAlign w:val="top"/>
          </w:tcPr>
          <w:p>
            <w:pPr>
              <w:pStyle w:val="Standard"/>
              <w:keepNext/>
              <w:spacing w:before="0" w:after="0"/>
            </w:pPr>
            <w:r>
              <w:t xml:space="preserve"/>
            </w:r>
          </w:p>
        </w:tc>
        <w:tc>
          <w:tcPr>
            <w:tcW w:w="6565" w:type="dxa"/>
            <w:vAlign w:val="top"/>
          </w:tcPr>
          <w:p>
            <w:pPr>
              <w:pStyle w:val="Standard"/>
              <w:spacing w:before="0" w:after="0"/>
            </w:pPr>
            <w:r>
              <w:rPr>
                <w:b/>
                <w:bCs/>
                <w:caps/>
                <w:color w:val="7A7A88"/>
                <w:sz w:val="16"/>
                <w:szCs w:val="16"/>
              </w:rPr>
              <w:t xml:space="preserve">Mein Satz</w:t>
            </w:r>
          </w:p>
        </w:tc>
      </w:tr>
    </w:tbl>
    <w:p>
      <w:pPr>
        <w:pStyle w:val="Haupttext"/>
        <w:spacing w:before="100" w:after="60"/>
      </w:pPr>
      <w:r>
        <w:rPr>
          <w:b/>
          <w:bCs/>
        </w:rPr>
        <w:t xml:space="preserve">Danach: </w:t>
      </w:r>
      <w:r>
        <w:t xml:space="preserve">Was beschlussrelevant ist, läuft über ein Format mit Protokoll, mindestens über eine Mail mit festem Verteiler. In der Mail steht, ob es eine Entscheidung oder eine Information ist.</w:t>
      </w:r>
    </w:p>
    <w:p>
      <w:pPr>
        <w:pStyle w:val="berschrift3"/>
        <w:keepNext/>
        <w:spacing w:before="280"/>
      </w:pPr>
      <w:r>
        <w:rPr>
          <w:color w:val="5D7DBE"/>
        </w:rPr>
        <w:t xml:space="preserve">2  </w:t>
      </w:r>
      <w:r>
        <w:t xml:space="preserve">Am Tisch wird über jemanden geredet, der nicht da ist</w:t>
      </w:r>
    </w:p>
    <w:p>
      <w:pPr>
        <w:pStyle w:val="Haupttext"/>
        <w:keepNext/>
        <w:spacing w:after="100"/>
      </w:pPr>
      <w:r>
        <w:rPr>
          <w:i/>
          <w:iCs/>
        </w:rPr>
        <w:t xml:space="preserve">Die Runde spricht über eine Kollegin oder einen Kollegen, die oder der nicht dabei ist, und du wirst mit hineingezogen.</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3500"/>
        <w:gridCol w:w="6565"/>
      </w:tblGrid>
      <w:tr>
        <w:trPr>
          <w:cantSplit/>
          <w:tblHeader/>
        </w:trPr>
        <w:tc>
          <w:tcPr>
            <w:tcW w:w="3500" w:type="dxa"/>
            <w:shd w:val="clear" w:color="auto" w:fill="C1181C"/>
            <w:vAlign w:val="center"/>
          </w:tcPr>
          <w:p>
            <w:pPr>
              <w:pStyle w:val="Standard"/>
              <w:keepNext/>
              <w:spacing w:before="0" w:after="0"/>
            </w:pPr>
            <w:r>
              <w:rPr>
                <w:b/>
                <w:bCs/>
                <w:caps/>
                <w:color w:val="FFFFFF"/>
              </w:rPr>
              <w:t xml:space="preserve">Das sagst du oft</w:t>
            </w:r>
          </w:p>
        </w:tc>
        <w:tc>
          <w:tcPr>
            <w:tcW w:w="6565" w:type="dxa"/>
            <w:shd w:val="clear" w:color="auto" w:fill="5D7DBE"/>
            <w:vAlign w:val="center"/>
          </w:tcPr>
          <w:p>
            <w:pPr>
              <w:pStyle w:val="Standard"/>
              <w:keepNext/>
              <w:spacing w:before="0" w:after="0"/>
            </w:pPr>
            <w:r>
              <w:rPr>
                <w:b/>
                <w:bCs/>
                <w:caps/>
                <w:color w:val="FFFFFF"/>
              </w:rPr>
              <w:t xml:space="preserve">Das kannst du stattdessen sagen</w:t>
            </w:r>
          </w:p>
        </w:tc>
      </w:tr>
      <w:tr>
        <w:trPr>
          <w:cantSplit/>
        </w:trPr>
        <w:tc>
          <w:tcPr>
            <w:tcW w:w="3500" w:type="dxa"/>
            <w:vMerge w:val="restart"/>
            <w:vAlign w:val="top"/>
          </w:tcPr>
          <w:p>
            <w:pPr>
              <w:pStyle w:val="Standard"/>
              <w:keepNext/>
              <w:spacing w:before="0" w:after="80"/>
            </w:pPr>
            <w:r>
              <w:t xml:space="preserve">Du schweigst und bleibst stehen.</w:t>
            </w:r>
          </w:p>
          <w:p>
            <w:pPr>
              <w:pStyle w:val="Standard"/>
              <w:keepNext/>
              <w:spacing w:before="0" w:after="80"/>
            </w:pPr>
            <w:r>
              <w:t xml:space="preserve">„Hm, ja … kann sein.“</w:t>
            </w:r>
          </w:p>
        </w:tc>
        <w:tc>
          <w:tcPr>
            <w:tcW w:w="6565" w:type="dxa"/>
            <w:vAlign w:val="top"/>
          </w:tcPr>
          <w:p>
            <w:pPr>
              <w:pStyle w:val="Standard"/>
              <w:keepNext/>
              <w:spacing w:before="0" w:after="20"/>
            </w:pPr>
            <w:r>
              <w:rPr>
                <w:b/>
                <w:bCs/>
                <w:caps/>
                <w:color w:val="7A7A88"/>
                <w:sz w:val="16"/>
                <w:szCs w:val="16"/>
              </w:rPr>
              <w:t xml:space="preserve">Kernsatz: Thema wechseln</w:t>
            </w:r>
          </w:p>
          <w:p>
            <w:pPr>
              <w:pStyle w:val="Standard"/>
              <w:keepNext/>
              <w:spacing w:before="0" w:after="0"/>
            </w:pPr>
            <w:r>
              <w:rPr>
                <w:b/>
                <w:bCs/>
              </w:rPr>
              <w:t xml:space="preserve">„Sag mal, wie ist eigentlich eure Projektwoche gelaufen?“</w:t>
            </w:r>
          </w:p>
        </w:tc>
      </w:tr>
      <w:tr>
        <w:trPr>
          <w:cantSplit/>
        </w:trPr>
        <w:tc>
          <w:tcPr>
            <w:tcW w:w="3500" w:type="dxa"/>
            <w:vMerge/>
            <w:vAlign w:val="top"/>
          </w:tcPr>
          <w:p>
            <w:pPr>
              <w:pStyle w:val="Standard"/>
              <w:keepNext/>
              <w:spacing w:before="0" w:after="0"/>
            </w:pPr>
            <w:r>
              <w:t xml:space="preserve"/>
            </w:r>
          </w:p>
        </w:tc>
        <w:tc>
          <w:tcPr>
            <w:tcW w:w="6565" w:type="dxa"/>
            <w:vAlign w:val="top"/>
          </w:tcPr>
          <w:p>
            <w:pPr>
              <w:pStyle w:val="Standard"/>
              <w:keepNext/>
              <w:spacing w:before="0" w:after="20"/>
            </w:pPr>
            <w:r>
              <w:rPr>
                <w:b/>
                <w:bCs/>
                <w:caps/>
                <w:color w:val="7A7A88"/>
                <w:sz w:val="16"/>
                <w:szCs w:val="16"/>
              </w:rPr>
              <w:t xml:space="preserve">Wenn du dich herausnehmen willst</w:t>
            </w:r>
          </w:p>
          <w:p>
            <w:pPr>
              <w:pStyle w:val="Standard"/>
              <w:keepNext/>
              <w:spacing w:before="0" w:after="0"/>
            </w:pPr>
            <w:r>
              <w:t xml:space="preserve">„Da halte ich mich raus. Das sollte man direkt mit der Person klären.“</w:t>
            </w:r>
          </w:p>
        </w:tc>
      </w:tr>
      <w:tr>
        <w:trPr>
          <w:cantSplit/>
          <w:trHeight w:val="850" w:hRule="atLeast"/>
        </w:trPr>
        <w:tc>
          <w:tcPr>
            <w:tcW w:w="3500" w:type="dxa"/>
            <w:vMerge/>
            <w:vAlign w:val="top"/>
          </w:tcPr>
          <w:p>
            <w:pPr>
              <w:pStyle w:val="Standard"/>
              <w:keepNext/>
              <w:spacing w:before="0" w:after="0"/>
            </w:pPr>
            <w:r>
              <w:t xml:space="preserve"/>
            </w:r>
          </w:p>
        </w:tc>
        <w:tc>
          <w:tcPr>
            <w:tcW w:w="6565" w:type="dxa"/>
            <w:vAlign w:val="top"/>
          </w:tcPr>
          <w:p>
            <w:pPr>
              <w:pStyle w:val="Standard"/>
              <w:spacing w:before="0" w:after="0"/>
            </w:pPr>
            <w:r>
              <w:rPr>
                <w:b/>
                <w:bCs/>
                <w:caps/>
                <w:color w:val="7A7A88"/>
                <w:sz w:val="16"/>
                <w:szCs w:val="16"/>
              </w:rPr>
              <w:t xml:space="preserve">Mein Satz</w:t>
            </w:r>
          </w:p>
        </w:tc>
      </w:tr>
    </w:tbl>
    <w:p>
      <w:pPr>
        <w:pStyle w:val="Haupttext"/>
        <w:spacing w:before="100" w:after="60"/>
      </w:pPr>
      <w:r>
        <w:rPr>
          <w:b/>
          <w:bCs/>
        </w:rPr>
        <w:t xml:space="preserve">Danach: </w:t>
      </w:r>
      <w:r>
        <w:t xml:space="preserve">Nichts. Du musst niemanden belehren, es reicht, nicht mitzumachen. Bring auch kein Wissen über die abwesende Person ein, nicht einmal, um sie zu verteidigen. Sonst redest du doch über sie.</w:t>
      </w:r>
    </w:p>
    <w:p>
      <w:pPr>
        <w:pStyle w:val="berschrift3"/>
        <w:keepNext/>
        <w:spacing w:before="280"/>
      </w:pPr>
      <w:r>
        <w:rPr>
          <w:color w:val="5D7DBE"/>
        </w:rPr>
        <w:t xml:space="preserve">3  </w:t>
      </w:r>
      <w:r>
        <w:t xml:space="preserve">Du hast ein Problem mit einer Kollegin oder einem Kollegen</w:t>
      </w:r>
    </w:p>
    <w:p>
      <w:pPr>
        <w:pStyle w:val="Haupttext"/>
        <w:keepNext/>
        <w:spacing w:after="100"/>
      </w:pPr>
      <w:r>
        <w:rPr>
          <w:i/>
          <w:iCs/>
        </w:rPr>
        <w:t xml:space="preserve">Dich stört etwas im Verhalten einer Kollegin oder eines Kollegen, und du merkst, dass du es eher anderen erzählst als ihr oder ihm.</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3500"/>
        <w:gridCol w:w="6565"/>
      </w:tblGrid>
      <w:tr>
        <w:trPr>
          <w:cantSplit/>
          <w:tblHeader/>
        </w:trPr>
        <w:tc>
          <w:tcPr>
            <w:tcW w:w="3500" w:type="dxa"/>
            <w:shd w:val="clear" w:color="auto" w:fill="C1181C"/>
            <w:vAlign w:val="center"/>
          </w:tcPr>
          <w:p>
            <w:pPr>
              <w:pStyle w:val="Standard"/>
              <w:keepNext/>
              <w:spacing w:before="0" w:after="0"/>
            </w:pPr>
            <w:r>
              <w:rPr>
                <w:b/>
                <w:bCs/>
                <w:caps/>
                <w:color w:val="FFFFFF"/>
              </w:rPr>
              <w:t xml:space="preserve">Das sagst du oft</w:t>
            </w:r>
          </w:p>
        </w:tc>
        <w:tc>
          <w:tcPr>
            <w:tcW w:w="6565" w:type="dxa"/>
            <w:shd w:val="clear" w:color="auto" w:fill="5D7DBE"/>
            <w:vAlign w:val="center"/>
          </w:tcPr>
          <w:p>
            <w:pPr>
              <w:pStyle w:val="Standard"/>
              <w:keepNext/>
              <w:spacing w:before="0" w:after="0"/>
            </w:pPr>
            <w:r>
              <w:rPr>
                <w:b/>
                <w:bCs/>
                <w:caps/>
                <w:color w:val="FFFFFF"/>
              </w:rPr>
              <w:t xml:space="preserve">Das kannst du stattdessen sagen</w:t>
            </w:r>
          </w:p>
        </w:tc>
      </w:tr>
      <w:tr>
        <w:trPr>
          <w:cantSplit/>
        </w:trPr>
        <w:tc>
          <w:tcPr>
            <w:tcW w:w="3500" w:type="dxa"/>
            <w:vMerge w:val="restart"/>
            <w:vAlign w:val="top"/>
          </w:tcPr>
          <w:p>
            <w:pPr>
              <w:pStyle w:val="Standard"/>
              <w:keepNext/>
              <w:spacing w:before="0" w:after="80"/>
            </w:pPr>
            <w:r>
              <w:t xml:space="preserve">„Du hältst dich ja nie an Absprachen.“</w:t>
            </w:r>
          </w:p>
          <w:p>
            <w:pPr>
              <w:pStyle w:val="Standard"/>
              <w:keepNext/>
              <w:spacing w:before="0" w:after="80"/>
            </w:pPr>
            <w:r>
              <w:t xml:space="preserve">„Weißt du, was der schon wieder gemacht hat?“</w:t>
            </w:r>
          </w:p>
        </w:tc>
        <w:tc>
          <w:tcPr>
            <w:tcW w:w="6565" w:type="dxa"/>
            <w:vAlign w:val="top"/>
          </w:tcPr>
          <w:p>
            <w:pPr>
              <w:pStyle w:val="Standard"/>
              <w:keepNext/>
              <w:spacing w:before="0" w:after="20"/>
            </w:pPr>
            <w:r>
              <w:rPr>
                <w:b/>
                <w:bCs/>
                <w:caps/>
                <w:color w:val="7A7A88"/>
                <w:sz w:val="16"/>
                <w:szCs w:val="16"/>
              </w:rPr>
              <w:t xml:space="preserve">Kernsatz in vier Teilen</w:t>
            </w:r>
          </w:p>
          <w:p>
            <w:pPr>
              <w:pStyle w:val="Standard"/>
              <w:keepNext/>
              <w:spacing w:before="0" w:after="0"/>
            </w:pPr>
            <w:r>
              <w:rPr>
                <w:b/>
                <w:bCs/>
              </w:rPr>
              <w:t xml:space="preserve">„Hast du fünf Minuten? Mir ist aufgefallen, dass [was konkret passiert ist]. Für mich heißt das [Folge für dich oder die Arbeit]. Können wir [Vorschlag]?“</w:t>
            </w:r>
          </w:p>
        </w:tc>
      </w:tr>
      <w:tr>
        <w:trPr>
          <w:cantSplit/>
        </w:trPr>
        <w:tc>
          <w:tcPr>
            <w:tcW w:w="3500" w:type="dxa"/>
            <w:vMerge/>
            <w:vAlign w:val="top"/>
          </w:tcPr>
          <w:p>
            <w:pPr>
              <w:pStyle w:val="Standard"/>
              <w:keepNext/>
              <w:spacing w:before="0" w:after="0"/>
            </w:pPr>
            <w:r>
              <w:t xml:space="preserve"/>
            </w:r>
          </w:p>
        </w:tc>
        <w:tc>
          <w:tcPr>
            <w:tcW w:w="6565" w:type="dxa"/>
            <w:vAlign w:val="top"/>
          </w:tcPr>
          <w:p>
            <w:pPr>
              <w:pStyle w:val="Standard"/>
              <w:keepNext/>
              <w:spacing w:before="0" w:after="20"/>
            </w:pPr>
            <w:r>
              <w:rPr>
                <w:b/>
                <w:bCs/>
                <w:caps/>
                <w:color w:val="7A7A88"/>
                <w:sz w:val="16"/>
                <w:szCs w:val="16"/>
              </w:rPr>
              <w:t xml:space="preserve">Beispiel</w:t>
            </w:r>
          </w:p>
          <w:p>
            <w:pPr>
              <w:pStyle w:val="Standard"/>
              <w:keepNext/>
              <w:spacing w:before="0" w:after="0"/>
            </w:pPr>
            <w:r>
              <w:t xml:space="preserve">„Hast du fünf Minuten? Mir ist aufgefallen, dass die Vergleichsarbeit für die 8b bis gestern nicht im Ordner lag. Für mich heißt das, dass ich meine Korrektur nicht mit deiner abstimmen kann. Können wir festlegen, bis wann sie drinliegt?“</w:t>
            </w:r>
          </w:p>
        </w:tc>
      </w:tr>
      <w:tr>
        <w:trPr>
          <w:cantSplit/>
        </w:trPr>
        <w:tc>
          <w:tcPr>
            <w:tcW w:w="3500" w:type="dxa"/>
            <w:vMerge/>
            <w:vAlign w:val="top"/>
          </w:tcPr>
          <w:p>
            <w:pPr>
              <w:pStyle w:val="Standard"/>
              <w:keepNext/>
              <w:spacing w:before="0" w:after="0"/>
            </w:pPr>
            <w:r>
              <w:t xml:space="preserve"/>
            </w:r>
          </w:p>
        </w:tc>
        <w:tc>
          <w:tcPr>
            <w:tcW w:w="6565" w:type="dxa"/>
            <w:vAlign w:val="top"/>
          </w:tcPr>
          <w:p>
            <w:pPr>
              <w:pStyle w:val="Standard"/>
              <w:keepNext/>
              <w:spacing w:before="0" w:after="20"/>
            </w:pPr>
            <w:r>
              <w:rPr>
                <w:b/>
                <w:bCs/>
                <w:caps/>
                <w:color w:val="7A7A88"/>
                <w:sz w:val="16"/>
                <w:szCs w:val="16"/>
              </w:rPr>
              <w:t xml:space="preserve">Wenn der Moment ungünstig ist</w:t>
            </w:r>
          </w:p>
          <w:p>
            <w:pPr>
              <w:pStyle w:val="Standard"/>
              <w:keepNext/>
              <w:spacing w:before="0" w:after="0"/>
            </w:pPr>
            <w:r>
              <w:t xml:space="preserve">„Ich würde gern etwas mit dir besprechen, das mir wichtig ist. Passt dir morgen in der großen Pause?“</w:t>
            </w:r>
          </w:p>
        </w:tc>
      </w:tr>
      <w:tr>
        <w:trPr>
          <w:cantSplit/>
          <w:trHeight w:val="850" w:hRule="atLeast"/>
        </w:trPr>
        <w:tc>
          <w:tcPr>
            <w:tcW w:w="3500" w:type="dxa"/>
            <w:vMerge/>
            <w:vAlign w:val="top"/>
          </w:tcPr>
          <w:p>
            <w:pPr>
              <w:pStyle w:val="Standard"/>
              <w:keepNext/>
              <w:spacing w:before="0" w:after="0"/>
            </w:pPr>
            <w:r>
              <w:t xml:space="preserve"/>
            </w:r>
          </w:p>
        </w:tc>
        <w:tc>
          <w:tcPr>
            <w:tcW w:w="6565" w:type="dxa"/>
            <w:vAlign w:val="top"/>
          </w:tcPr>
          <w:p>
            <w:pPr>
              <w:pStyle w:val="Standard"/>
              <w:spacing w:before="0" w:after="0"/>
            </w:pPr>
            <w:r>
              <w:rPr>
                <w:b/>
                <w:bCs/>
                <w:caps/>
                <w:color w:val="7A7A88"/>
                <w:sz w:val="16"/>
                <w:szCs w:val="16"/>
              </w:rPr>
              <w:t xml:space="preserve">Mein Satz</w:t>
            </w:r>
          </w:p>
        </w:tc>
      </w:tr>
    </w:tbl>
    <w:p>
      <w:pPr>
        <w:pStyle w:val="Haupttext"/>
        <w:spacing w:before="100" w:after="60"/>
      </w:pPr>
      <w:r>
        <w:rPr>
          <w:b/>
          <w:bCs/>
        </w:rPr>
        <w:t xml:space="preserve">Danach: </w:t>
      </w:r>
      <w:r>
        <w:t xml:space="preserve">Das Gespräch endet mit einem konkreten nächsten Schritt: Wer macht was bis wann? Ein Gespräch ohne Vereinbarung bleibt ein Austausch von Unzufriedenheit.</w:t>
      </w:r>
    </w:p>
    <w:p>
      <w:pPr>
        <w:pStyle w:val="berschrift3"/>
        <w:keepNext/>
        <w:spacing w:before="320"/>
      </w:pPr>
      <w:r>
        <w:t xml:space="preserve">Wenn ein Satz nicht reicht</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4200"/>
        <w:gridCol w:w="5865"/>
      </w:tblGrid>
      <w:tr>
        <w:trPr>
          <w:cantSplit/>
          <w:tblHeader/>
        </w:trPr>
        <w:tc>
          <w:tcPr>
            <w:tcW w:w="4200" w:type="dxa"/>
            <w:shd w:val="clear" w:color="auto" w:fill="5D7DBE"/>
            <w:vAlign w:val="center"/>
          </w:tcPr>
          <w:p>
            <w:pPr>
              <w:pStyle w:val="Standard"/>
              <w:keepNext/>
              <w:spacing w:before="0" w:after="0"/>
            </w:pPr>
            <w:r>
              <w:rPr>
                <w:b/>
                <w:bCs/>
                <w:caps/>
                <w:color w:val="FFFFFF"/>
              </w:rPr>
              <w:t xml:space="preserve">Lage</w:t>
            </w:r>
          </w:p>
        </w:tc>
        <w:tc>
          <w:tcPr>
            <w:tcW w:w="5865" w:type="dxa"/>
            <w:shd w:val="clear" w:color="auto" w:fill="5D7DBE"/>
            <w:vAlign w:val="center"/>
          </w:tcPr>
          <w:p>
            <w:pPr>
              <w:pStyle w:val="Standard"/>
              <w:keepNext/>
              <w:spacing w:before="0" w:after="0"/>
            </w:pPr>
            <w:r>
              <w:rPr>
                <w:b/>
                <w:bCs/>
                <w:caps/>
                <w:color w:val="FFFFFF"/>
              </w:rPr>
              <w:t xml:space="preserve">Wen du ansprichst</w:t>
            </w:r>
          </w:p>
        </w:tc>
      </w:tr>
      <w:tr>
        <w:trPr>
          <w:cantSplit/>
        </w:trPr>
        <w:tc>
          <w:tcPr>
            <w:tcW w:w="4200" w:type="dxa"/>
            <w:vAlign w:val="top"/>
          </w:tcPr>
          <w:p>
            <w:pPr>
              <w:pStyle w:val="Standard"/>
              <w:keepNext/>
              <w:spacing w:before="0" w:after="0"/>
            </w:pPr>
            <w:r>
              <w:rPr>
                <w:b/>
                <w:bCs/>
              </w:rPr>
              <w:t xml:space="preserve">Das direkte Gespräch hat nichts verändert.</w:t>
            </w:r>
          </w:p>
        </w:tc>
        <w:tc>
          <w:tcPr>
            <w:tcW w:w="5865" w:type="dxa"/>
            <w:vAlign w:val="top"/>
          </w:tcPr>
          <w:p>
            <w:pPr>
              <w:pStyle w:val="Standard"/>
              <w:keepNext/>
              <w:spacing w:before="0" w:after="0"/>
            </w:pPr>
            <w:r>
              <w:t xml:space="preserve">Den Lehrkräfterat oder ein Mitglied der Schulleitung, dem du vertraust. Du schilderst, was passiert ist und was du schon versucht hast.</w:t>
            </w:r>
          </w:p>
        </w:tc>
      </w:tr>
      <w:tr>
        <w:trPr>
          <w:cantSplit/>
        </w:trPr>
        <w:tc>
          <w:tcPr>
            <w:tcW w:w="4200" w:type="dxa"/>
            <w:vAlign w:val="top"/>
          </w:tcPr>
          <w:p>
            <w:pPr>
              <w:pStyle w:val="Standard"/>
              <w:keepNext/>
              <w:spacing w:before="0" w:after="0"/>
            </w:pPr>
            <w:r>
              <w:rPr>
                <w:b/>
                <w:bCs/>
              </w:rPr>
              <w:t xml:space="preserve">Das Problem ist strukturell, nicht persönlich, zum Beispiel unklare Zuständigkeiten oder ungleiche Aufgabenverteilung.</w:t>
            </w:r>
          </w:p>
        </w:tc>
        <w:tc>
          <w:tcPr>
            <w:tcW w:w="5865" w:type="dxa"/>
            <w:vAlign w:val="top"/>
          </w:tcPr>
          <w:p>
            <w:pPr>
              <w:pStyle w:val="Standard"/>
              <w:keepNext/>
              <w:spacing w:before="0" w:after="0"/>
            </w:pPr>
            <w:r>
              <w:t xml:space="preserve">Das zuständige Gremium oder die Schulleitung. Nimm zwei oder drei Kolleginnen und Kollegen mit, Gruppen werden eher gehört als Einzelne.</w:t>
            </w:r>
          </w:p>
        </w:tc>
      </w:tr>
      <w:tr>
        <w:trPr>
          <w:cantSplit/>
        </w:trPr>
        <w:tc>
          <w:tcPr>
            <w:tcW w:w="4200" w:type="dxa"/>
            <w:vAlign w:val="top"/>
          </w:tcPr>
          <w:p>
            <w:pPr>
              <w:pStyle w:val="Standard"/>
              <w:keepNext/>
              <w:spacing w:before="0" w:after="0"/>
            </w:pPr>
            <w:r>
              <w:rPr>
                <w:b/>
                <w:bCs/>
              </w:rPr>
              <w:t xml:space="preserve">Es geht um Mobbing, Übergriffe oder Dienstpflichtverletzungen.</w:t>
            </w:r>
          </w:p>
        </w:tc>
        <w:tc>
          <w:tcPr>
            <w:tcW w:w="5865" w:type="dxa"/>
            <w:vAlign w:val="top"/>
          </w:tcPr>
          <w:p>
            <w:pPr>
              <w:pStyle w:val="Standard"/>
              <w:keepNext/>
              <w:spacing w:before="0" w:after="0"/>
            </w:pPr>
            <w:r>
              <w:t xml:space="preserve">Direkt die Schulleitung oder den Lehrkräfterat. Hier sind Redebausteine das falsche Werkzeug.</w:t>
            </w:r>
          </w:p>
        </w:tc>
      </w:tr>
      <w:tr>
        <w:trPr>
          <w:cantSplit/>
          <w:trHeight w:val="850" w:hRule="atLeast"/>
        </w:trPr>
        <w:tc>
          <w:tcPr>
            <w:tcW w:w="10065" w:type="dxa"/>
            <w:gridSpan w:val="2"/>
            <w:vAlign w:val="top"/>
          </w:tcPr>
          <w:p>
            <w:pPr>
              <w:pStyle w:val="Standard"/>
              <w:keepNext/>
              <w:spacing w:before="0" w:after="0"/>
            </w:pPr>
            <w:r>
              <w:rPr>
                <w:b/>
                <w:bCs/>
                <w:caps/>
                <w:color w:val="7A7A88"/>
                <w:sz w:val="16"/>
                <w:szCs w:val="16"/>
              </w:rPr>
              <w:t xml:space="preserve">An unserer Schule ansprechbar (neben der Schulleitung)</w:t>
            </w:r>
          </w:p>
        </w:tc>
      </w:tr>
    </w:tbl>
    <w:p>
      <w:pPr>
        <w:pStyle w:val="Haupttext"/>
        <w:spacing w:before="80"/>
      </w:pPr>
      <w:r>
        <w:rPr>
          <w:color w:val="7A7A88"/>
          <w:sz w:val="16"/>
          <w:szCs w:val="16"/>
        </w:rPr>
        <w:t xml:space="preserve">Kläre im Kollegium vorab, wer in solchen Fällen neben der Schulleitung angesprochen werden kann, und trag es oben ein. Bezeichnung und Zuständigkeit der Personalvertretung (Lehrkräfterat, Lehrerrat, Personalrat) unterscheiden sich nach Bundesland und Schulform; maßgeblich ist die Regelung deines Landes.</w:t>
      </w:r>
    </w:p>
    <w:p>
      <w:pPr>
        <w:pStyle w:val="Haupttext"/>
        <w:spacing w:before="200" w:after="0"/>
      </w:pPr>
      <w:r>
        <w:t xml:space="preserve"/>
      </w:r>
    </w:p>
    <w:tbl>
      <w:tblPr>
        <w:tblW w:w="10065" w:type="dxa"/>
        <w:tblInd w:w="0" w:type="dxa"/>
        <w:tblBorders>
          <w:top w:val="single" w:sz="2" w:space="0" w:color="B2B2BF"/>
          <w:left w:val="single" w:sz="2" w:space="0" w:color="B2B2BF"/>
          <w:bottom w:val="single" w:sz="2" w:space="0" w:color="B2B2BF"/>
          <w:right w:val="single" w:sz="2" w:space="0" w:color="B2B2BF"/>
          <w:insideH w:val="nil"/>
          <w:insideV w:val="nil"/>
        </w:tblBorders>
        <w:tblLayout w:type="fixed"/>
        <w:tblCellMar>
          <w:top w:w="68" w:type="dxa"/>
          <w:left w:w="102" w:type="dxa"/>
          <w:bottom w:w="68" w:type="dxa"/>
          <w:right w:w="102" w:type="dxa"/>
        </w:tblCellMar>
        <w:tblLook w:val="0000" w:firstRow="0" w:lastRow="0" w:firstColumn="0" w:lastColumn="0" w:noHBand="0" w:noVBand="0"/>
      </w:tblPr>
      <w:tblGrid>
        <w:gridCol w:w="8565"/>
        <w:gridCol w:w="1500"/>
      </w:tblGrid>
      <w:tr>
        <w:trPr>
          <w:cantSplit/>
        </w:trPr>
        <w:tc>
          <w:tcPr>
            <w:tcW w:w="8565" w:type="dxa"/>
            <w:shd w:val="clear" w:color="auto" w:fill="F2F4F9"/>
            <w:vAlign w:val="center"/>
          </w:tcPr>
          <w:p>
            <w:pPr>
              <w:pStyle w:val="Standard"/>
              <w:keepNext/>
              <w:spacing w:before="0" w:after="40"/>
            </w:pPr>
            <w:r>
              <w:rPr>
                <w:b/>
                <w:bCs/>
                <w:color w:val="5D7DBE"/>
              </w:rPr>
              <w:t xml:space="preserve">Im LSP-Forum</w:t>
            </w:r>
          </w:p>
          <w:p>
            <w:pPr>
              <w:pStyle w:val="Standard"/>
              <w:keepNext/>
              <w:spacing w:before="0" w:after="0"/>
            </w:pPr>
            <w:r>
              <w:t xml:space="preserve">Weitere Materialien zu Kapitel 3.2 „Das Kollegium“, darunter das Lehrkräfte-Plakat-direkt (LSP-03_02-001) für das Lehrkräftezimmer. Welcher Satz hat bei dir funktioniert? Teile ihn im Forum: lina-seil-prinzip.de</w:t>
            </w:r>
          </w:p>
        </w:tc>
        <w:tc>
          <w:tcPr>
            <w:tcW w:w="1500" w:type="dxa"/>
            <w:shd w:val="clear" w:color="auto" w:fill="F2F4F9"/>
            <w:vAlign w:val="center"/>
          </w:tcPr>
          <w:p>
            <w:pPr>
              <w:pStyle w:val="Standard"/>
              <w:spacing w:before="0" w:after="0"/>
            </w:pPr>
            <w:r>
              <w:drawing>
                <wp:inline distT="0" distB="0" distL="0" distR="0">
                  <wp:extent cx="648000" cy="648000"/>
                  <wp:docPr id="9001" name="QR Forum" descr="QR-Code zu lina-seil-prinzip.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lsp_forum_qr.png"/>
                          <pic:cNvPicPr/>
                        </pic:nvPicPr>
                        <pic:blipFill>
                          <a:blip r:embed="rIdQR1"/>
                          <a:stretch>
                            <a:fillRect/>
                          </a:stretch>
                        </pic:blipFill>
                        <pic:spPr>
                          <a:xfrm>
                            <a:off x="0" y="0"/>
                            <a:ext cx="648000" cy="648000"/>
                          </a:xfrm>
                          <a:prstGeom prst="rect">
                            <a:avLst/>
                          </a:prstGeom>
                        </pic:spPr>
                      </pic:pic>
                    </a:graphicData>
                  </a:graphic>
                </wp:inline>
              </w:drawing>
            </w:r>
          </w:p>
        </w:tc>
      </w:tr>
    </w:tbl>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3.2</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03_02-002</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03_02-002</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3</w:t>
                          </w:r>
                          <w:r w:rsidRPr="00A2543F">
                            <w:t xml:space="preserve"> </w:t>
                          </w:r>
                          <w:r w:rsidRPr="00A2543F">
                            <w:rPr>
                              <w:rFonts w:ascii="Cambria Math" w:hAnsi="Cambria Math" w:cs="Cambria Math"/>
                            </w:rPr>
                            <w:t>⋅</w:t>
                          </w:r>
                          <w:r w:rsidRPr="00A2543F">
                            <w:t xml:space="preserve">Kapitel </w:t>
                          </w:r>
                          <w:r w:rsidRPr="00A2543F">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3</w:t>
                    </w:r>
                    <w:r w:rsidRPr="00A2543F">
                      <w:t xml:space="preserve"> </w:t>
                    </w:r>
                    <w:r w:rsidRPr="00A2543F">
                      <w:rPr>
                        <w:rFonts w:ascii="Cambria Math" w:hAnsi="Cambria Math" w:cs="Cambria Math"/>
                      </w:rPr>
                      <w:t>⋅</w:t>
                    </w:r>
                    <w:r w:rsidRPr="00A2543F">
                      <w:t xml:space="preserve">Kapitel </w:t>
                    </w:r>
                    <w:r w:rsidRPr="00A2543F">
                      <w:rPr/>
                      <w:t>3.2</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03_02-002</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03_02-002</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Das Kollegium</w:t>
    </w:r>
    <w:r w:rsidRPr="00622065">
      <w:t/>
    </w:r>
    <w:r w:rsidRPr="00622065">
      <w:tab/>
      <w:t/>
    </w:r>
    <w:r w:rsidRPr="00622065">
      <w:rPr/>
      <w:t>REDEBAUSTEINE-DIREKT</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3</w:t>
                          </w:r>
                          <w:r w:rsidR="00F76909" w:rsidRPr="00F76909">
                            <w:rPr>
                              <w:rFonts w:ascii="MS Gothic" w:eastAsia="MS Gothic" w:hAnsi="MS Gothic" w:cs="MS Gothic"/>
                              <w:lang w:eastAsia="zh-TW"/>
                            </w:rPr>
                            <w:t xml:space="preserve"> · </w:t>
                          </w:r>
                          <w:r w:rsidRPr="00121910">
                            <w:t xml:space="preserve">Kapitel </w:t>
                          </w:r>
                          <w:r w:rsidRPr="00B957EC">
                            <w:rPr/>
                            <w:t>3.2</w:t>
                          </w:r>
                        </w:p>
                        <w:p w14:paraId="1B7BCC85" w14:textId="77777777" w:rsidR="00E76729" w:rsidRPr="00121910" w:rsidRDefault="00E76729" w:rsidP="00C27BE0">
                          <w:pPr>
                            <w:pStyle w:val="Kapitelname"/>
                          </w:pPr>
                          <w:r w:rsidRPr="003B34D3">
                            <w:rPr/>
                            <w:t>Das Kollegium – wenn Zusammenarbeit mehr kostet, als sie bringt</w:t>
                          </w:r>
                        </w:p>
                        <w:p w14:paraId="7761CCA0" w14:textId="77777777" w:rsidR="00E76729" w:rsidRPr="005125F5" w:rsidRDefault="00E76729" w:rsidP="00C27BE0">
                          <w:pPr>
                            <w:pStyle w:val="Dokumenttitel"/>
                          </w:pPr>
                          <w:r>
                            <w:t/>
                          </w:r>
                          <w:r w:rsidRPr="00B957EC">
                            <w:rPr/>
                            <w:t>Redebausteine-direkt</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3</w:t>
                    </w:r>
                    <w:r w:rsidR="00F76909" w:rsidRPr="00F76909">
                      <w:rPr>
                        <w:rFonts w:ascii="MS Gothic" w:eastAsia="MS Gothic" w:hAnsi="MS Gothic" w:cs="MS Gothic"/>
                        <w:lang w:eastAsia="zh-TW"/>
                      </w:rPr>
                      <w:t xml:space="preserve"> · </w:t>
                    </w:r>
                    <w:r w:rsidRPr="00121910">
                      <w:t xml:space="preserve">Kapitel </w:t>
                    </w:r>
                    <w:r w:rsidRPr="00B957EC">
                      <w:rPr/>
                      <w:t>3.2</w:t>
                    </w:r>
                  </w:p>
                  <w:p w14:paraId="1B7BCC85" w14:textId="77777777" w:rsidR="00E76729" w:rsidRPr="00121910" w:rsidRDefault="00E76729" w:rsidP="00C27BE0">
                    <w:pPr>
                      <w:pStyle w:val="Kapitelname"/>
                    </w:pPr>
                    <w:r w:rsidRPr="003B34D3">
                      <w:rPr/>
                      <w:t>Das Kollegium – wenn Zusammenarbeit mehr kostet, als sie bringt</w:t>
                    </w:r>
                  </w:p>
                  <w:p w14:paraId="7761CCA0" w14:textId="77777777" w:rsidR="00E76729" w:rsidRPr="005125F5" w:rsidRDefault="00E76729" w:rsidP="00C27BE0">
                    <w:pPr>
                      <w:pStyle w:val="Dokumenttitel"/>
                    </w:pPr>
                    <w:r>
                      <w:t/>
                    </w:r>
                    <w:r w:rsidRPr="00B957EC">
                      <w:rPr/>
                      <w:t>Redebausteine-direkt</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QR1" Type="http://schemas.openxmlformats.org/officeDocument/2006/relationships/image" Target="media/lsp_forum_qr.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H. Seil</dc:creator>
  <dc:description/>
  <cp:lastModifiedBy>Sien Lie Saleh</cp:lastModifiedBy>
  <cp:revision>12</cp:revision>
  <cp:lastPrinted>2026-07-29T19:12:00Z</cp:lastPrinted>
  <dcterms:created xsi:type="dcterms:W3CDTF">2026-08-23T20:15:00Z</dcterms:created>
  <dcterms:modified xsi:type="dcterms:W3CDTF">2026-08-27T12:53:00Z</dcterms:modified>
  <dc:title>Redebausteine-direkt</dc:title>
  <dc:subject>Das Lina-Seil-Prinzip · Teil 3 · Kapitel 3.2 Das Kollegium · Datei-ID LSP-03_02-002a</dc:subject>
  <cp:keywords>LSP-03_02-002a; Redebausteine; Kollegium; direkte Ansprache</cp:keywords>
</cp:coreProperties>
</file>